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360"/>
      </w:pPr>
      <w:r>
        <w:drawing>
          <wp:inline xmlns:a="http://schemas.openxmlformats.org/drawingml/2006/main" xmlns:pic="http://schemas.openxmlformats.org/drawingml/2006/picture">
            <wp:extent cx="384048" cy="384048"/>
            <wp:docPr id="1" name="Picture 1" title="THOX.ai" descr="THOX chip mark"/>
            <wp:cNvGraphicFramePr>
              <a:graphicFrameLocks noChangeAspect="1"/>
            </wp:cNvGraphicFramePr>
            <a:graphic>
              <a:graphicData uri="http://schemas.openxmlformats.org/drawingml/2006/picture">
                <pic:pic>
                  <pic:nvPicPr>
                    <pic:cNvPr id="0" name=".thox-chip.png"/>
                    <pic:cNvPicPr/>
                  </pic:nvPicPr>
                  <pic:blipFill>
                    <a:blip r:embed="rId13"/>
                    <a:stretch>
                      <a:fillRect/>
                    </a:stretch>
                  </pic:blipFill>
                  <pic:spPr>
                    <a:xfrm>
                      <a:off x="0" y="0"/>
                      <a:ext cx="384048" cy="384048"/>
                    </a:xfrm>
                    <a:prstGeom prst="rect"/>
                  </pic:spPr>
                </pic:pic>
              </a:graphicData>
            </a:graphic>
          </wp:inline>
        </w:drawing>
      </w:r>
      <w:r>
        <w:rPr>
          <w:rFonts w:ascii="Arial" w:hAnsi="Arial"/>
          <w:b/>
          <w:color w:val="101522"/>
          <w:sz w:val="34"/>
        </w:rPr>
        <w:t xml:space="preserve">  THOX.ai</w:t>
      </w:r>
    </w:p>
    <w:p>
      <w:pPr>
        <w:pStyle w:val="Title"/>
      </w:pPr>
      <w:r>
        <w:t>ThoxEmployee Transfer and Hosted Workspace User Guide</w:t>
      </w:r>
    </w:p>
    <w:p>
      <w:pPr>
        <w:spacing w:after="240"/>
      </w:pPr>
      <w:r>
        <w:rPr>
          <w:rFonts w:ascii="Arial" w:hAnsi="Arial"/>
          <w:b/>
          <w:color w:val="101522"/>
          <w:sz w:val="20"/>
        </w:rPr>
        <w:t>Release v1.2.10   |   Updated October 1 2026</w:t>
      </w:r>
    </w:p>
    <w:p>
      <w:pPr>
        <w:spacing w:after="240"/>
      </w:pPr>
      <w:r>
        <w:rPr>
          <w:rFonts w:ascii="Arial" w:hAnsi="Arial"/>
          <w:color w:val="101522"/>
          <w:sz w:val="24"/>
        </w:rPr>
        <w:t xml:space="preserve">Move instructions you own into a reviewed employee profile, rehearse the result in a browser-only workspace, and bring the approved profile into the hosted guest demo. </w:t>
      </w:r>
      <w:r>
        <w:rPr>
          <w:rFonts w:ascii="Arial" w:hAnsi="Arial"/>
          <w:b/>
          <w:color w:val="101522"/>
          <w:sz w:val="24"/>
        </w:rPr>
        <w:t>Transfer does not connect accounts or call AI. Hosted generation is a separate consented workflow, and every handoff requires human review.</w:t>
      </w:r>
    </w:p>
    <w:p>
      <w:pPr>
        <w:pStyle w:val="Heading1"/>
      </w:pPr>
      <w:r>
        <w:t>Quick start</w:t>
      </w:r>
    </w:p>
    <w:p>
      <w:pPr>
        <w:spacing w:after="70" w:line="254" w:lineRule="auto"/>
        <w:ind w:left="403" w:hanging="360"/>
      </w:pPr>
      <w:r>
        <w:rPr>
          <w:rFonts w:ascii="Arial" w:hAnsi="Arial"/>
          <w:color w:val="101522"/>
          <w:sz w:val="19"/>
        </w:rPr>
        <w:t xml:space="preserve">1.  </w:t>
      </w:r>
      <w:r>
        <w:rPr>
          <w:rFonts w:ascii="Arial" w:hAnsi="Arial"/>
          <w:color w:val="101522"/>
          <w:sz w:val="19"/>
        </w:rPr>
        <w:t>Open www.thox.ai/demos/thoxemployee/transfer.</w:t>
      </w:r>
    </w:p>
    <w:p>
      <w:pPr>
        <w:spacing w:after="70" w:line="254" w:lineRule="auto"/>
        <w:ind w:left="403" w:hanging="360"/>
      </w:pPr>
      <w:r>
        <w:rPr>
          <w:rFonts w:ascii="Arial" w:hAnsi="Arial"/>
          <w:color w:val="101522"/>
          <w:sz w:val="19"/>
        </w:rPr>
        <w:t xml:space="preserve">2.  </w:t>
      </w:r>
      <w:r>
        <w:rPr>
          <w:rFonts w:ascii="Arial" w:hAnsi="Arial"/>
          <w:color w:val="101522"/>
          <w:sz w:val="19"/>
        </w:rPr>
        <w:t>Choose a source, then paste instructions or select its supported file.</w:t>
      </w:r>
    </w:p>
    <w:p>
      <w:pPr>
        <w:spacing w:after="70" w:line="254" w:lineRule="auto"/>
        <w:ind w:left="403" w:hanging="360"/>
      </w:pPr>
      <w:r>
        <w:rPr>
          <w:rFonts w:ascii="Arial" w:hAnsi="Arial"/>
          <w:color w:val="101522"/>
          <w:sz w:val="19"/>
        </w:rPr>
        <w:t xml:space="preserve">3.  </w:t>
      </w:r>
      <w:r>
        <w:rPr>
          <w:rFonts w:ascii="Arial" w:hAnsi="Arial"/>
          <w:color w:val="101522"/>
          <w:sz w:val="19"/>
        </w:rPr>
        <w:t>Add a profile name, role, and stable source ID for instruction-text imports.</w:t>
      </w:r>
    </w:p>
    <w:p>
      <w:pPr>
        <w:spacing w:after="70" w:line="254" w:lineRule="auto"/>
        <w:ind w:left="403" w:hanging="360"/>
      </w:pPr>
      <w:r>
        <w:rPr>
          <w:rFonts w:ascii="Arial" w:hAnsi="Arial"/>
          <w:color w:val="101522"/>
          <w:sz w:val="19"/>
        </w:rPr>
        <w:t xml:space="preserve">4.  </w:t>
      </w:r>
      <w:r>
        <w:rPr>
          <w:rFonts w:ascii="Arial" w:hAnsi="Arial"/>
          <w:color w:val="101522"/>
          <w:sz w:val="19"/>
        </w:rPr>
        <w:t>Select Review conversion and read every instruction and warning.</w:t>
      </w:r>
    </w:p>
    <w:p>
      <w:pPr>
        <w:spacing w:after="70" w:line="254" w:lineRule="auto"/>
        <w:ind w:left="403" w:hanging="360"/>
      </w:pPr>
      <w:r>
        <w:rPr>
          <w:rFonts w:ascii="Arial" w:hAnsi="Arial"/>
          <w:color w:val="101522"/>
          <w:sz w:val="19"/>
        </w:rPr>
        <w:t xml:space="preserve">5.  </w:t>
      </w:r>
      <w:r>
        <w:rPr>
          <w:rFonts w:ascii="Arial" w:hAnsi="Arial"/>
          <w:color w:val="101522"/>
          <w:sz w:val="19"/>
        </w:rPr>
        <w:t>Acknowledge that you reviewed the instructions and removed private information.</w:t>
      </w:r>
    </w:p>
    <w:p>
      <w:pPr>
        <w:spacing w:after="70" w:line="254" w:lineRule="auto"/>
        <w:ind w:left="403" w:hanging="360"/>
      </w:pPr>
      <w:r>
        <w:rPr>
          <w:rFonts w:ascii="Arial" w:hAnsi="Arial"/>
          <w:color w:val="101522"/>
          <w:sz w:val="19"/>
        </w:rPr>
        <w:t xml:space="preserve">6.  </w:t>
      </w:r>
      <w:r>
        <w:rPr>
          <w:rFonts w:ascii="Arial" w:hAnsi="Arial"/>
          <w:color w:val="101522"/>
          <w:sz w:val="19"/>
        </w:rPr>
        <w:t>Download Employee JSON or import it into the browser-only virtual workspace.</w:t>
      </w:r>
    </w:p>
    <w:p>
      <w:pPr>
        <w:spacing w:after="70" w:line="254" w:lineRule="auto"/>
        <w:ind w:left="403" w:hanging="360"/>
      </w:pPr>
      <w:r>
        <w:rPr>
          <w:rFonts w:ascii="Arial" w:hAnsi="Arial"/>
          <w:color w:val="101522"/>
          <w:sz w:val="19"/>
        </w:rPr>
        <w:t xml:space="preserve">7.  </w:t>
      </w:r>
      <w:r>
        <w:rPr>
          <w:rFonts w:ascii="Arial" w:hAnsi="Arial"/>
          <w:color w:val="101522"/>
          <w:sz w:val="19"/>
        </w:rPr>
        <w:t>For the hosted demo, download the JSON first, open the workspace, and use Employees &gt; Import employee JSON.</w:t>
      </w:r>
    </w:p>
    <w:p>
      <w:r>
        <w:rPr>
          <w:b/>
        </w:rPr>
        <w:t xml:space="preserve">Use safe material. </w:t>
      </w:r>
      <w:r>
        <w:t>Use public, fictional, or otherwise non-sensitive information. Never include credentials, private keys, passwords, confidential data, or conversation archives.</w:t>
      </w:r>
    </w:p>
    <w:p>
      <w:pPr>
        <w:pStyle w:val="Heading2"/>
      </w:pPr>
      <w:r>
        <w:t>What this guide covers</w:t>
      </w:r>
    </w:p>
    <w:p>
      <w:r>
        <w:t>Source selection  •  Review and acknowledgment  •  Virtual rehearsal  •  Reverse export  •  Hosted tasks  •  View task  •  Consent and limits  •  Troubleshooting  •  Privacy and IP</w:t>
      </w:r>
    </w:p>
    <w:p>
      <w:r>
        <w:br w:type="page"/>
      </w:r>
    </w:p>
    <w:p>
      <w:pPr>
        <w:pStyle w:val="Heading1"/>
      </w:pPr>
      <w:r>
        <w:t>Choose the correct source</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930"/>
            <w:shd w:fill="10152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vAlign w:val="center"/>
          </w:tcPr>
          <w:p>
            <w:pPr>
              <w:spacing w:after="0"/>
            </w:pPr>
            <w:r>
              <w:rPr>
                <w:rFonts w:ascii="Arial" w:hAnsi="Arial"/>
                <w:b/>
                <w:color w:val="FFFFFF"/>
                <w:sz w:val="17"/>
              </w:rPr>
              <w:t>Source</w:t>
            </w:r>
          </w:p>
        </w:tc>
        <w:tc>
          <w:tcPr>
            <w:tcW w:type="dxa" w:w="3528"/>
            <w:shd w:fill="10152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vAlign w:val="center"/>
          </w:tcPr>
          <w:p>
            <w:pPr>
              <w:spacing w:after="0"/>
            </w:pPr>
            <w:r>
              <w:rPr>
                <w:rFonts w:ascii="Arial" w:hAnsi="Arial"/>
                <w:b/>
                <w:color w:val="FFFFFF"/>
                <w:sz w:val="17"/>
              </w:rPr>
              <w:t>Provide</w:t>
            </w:r>
          </w:p>
        </w:tc>
        <w:tc>
          <w:tcPr>
            <w:tcW w:type="dxa" w:w="4320"/>
            <w:shd w:fill="10152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vAlign w:val="center"/>
          </w:tcPr>
          <w:p>
            <w:pPr>
              <w:spacing w:after="0"/>
            </w:pPr>
            <w:r>
              <w:rPr>
                <w:rFonts w:ascii="Arial" w:hAnsi="Arial"/>
                <w:b/>
                <w:color w:val="FFFFFF"/>
                <w:sz w:val="17"/>
              </w:rPr>
              <w:t>Excluded or limited</w:t>
            </w:r>
          </w:p>
        </w:tc>
      </w:tr>
      <w:tr>
        <w:tc>
          <w:tcPr>
            <w:tcW w:type="dxa" w:w="193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Grok instruction text</w:t>
            </w:r>
          </w:p>
        </w:tc>
        <w:tc>
          <w:tcPr>
            <w:tcW w:type="dxa" w:w="352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Custom instructions or a bot description you own</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No account archive or conversations</w:t>
            </w:r>
          </w:p>
        </w:tc>
      </w:tr>
      <w:tr>
        <w:tc>
          <w:tcPr>
            <w:tcW w:type="dxa" w:w="193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Hermes SOUL.md</w:t>
            </w:r>
          </w:p>
        </w:tc>
        <w:tc>
          <w:tcPr>
            <w:tcW w:type="dxa" w:w="352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One file named SOUL.md</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No archives, configuration, memories, or sessions</w:t>
            </w:r>
          </w:p>
        </w:tc>
      </w:tr>
      <w:tr>
        <w:tc>
          <w:tcPr>
            <w:tcW w:type="dxa" w:w="193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Pi AGENTS.md</w:t>
            </w:r>
          </w:p>
        </w:tc>
        <w:tc>
          <w:tcPr>
            <w:tcW w:type="dxa" w:w="352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One file named AGENTS.md</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No discovery or merging of adjacent directory scopes</w:t>
            </w:r>
          </w:p>
        </w:tc>
      </w:tr>
      <w:tr>
        <w:tc>
          <w:tcPr>
            <w:tcW w:type="dxa" w:w="193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Pi SYSTEM.md</w:t>
            </w:r>
          </w:p>
        </w:tc>
        <w:tc>
          <w:tcPr>
            <w:tcW w:type="dxa" w:w="352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One file named SYSTEM.md</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Review carefully; this replaces Pi's default system prompt when placed there</w:t>
            </w:r>
          </w:p>
        </w:tc>
      </w:tr>
      <w:tr>
        <w:tc>
          <w:tcPr>
            <w:tcW w:type="dxa" w:w="193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Instruction Markdown</w:t>
            </w:r>
          </w:p>
        </w:tc>
        <w:tc>
          <w:tcPr>
            <w:tcW w:type="dxa" w:w="352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Standing instructions in .md or .txt</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A conversation transcript is not a profile</w:t>
            </w:r>
          </w:p>
        </w:tc>
      </w:tr>
      <w:tr>
        <w:tc>
          <w:tcPr>
            <w:tcW w:type="dxa" w:w="193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Employee JSON</w:t>
            </w:r>
          </w:p>
        </w:tc>
        <w:tc>
          <w:tcPr>
            <w:tcW w:type="dxa" w:w="352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A reviewed THOX profile document</w:t>
            </w:r>
          </w:p>
        </w:tc>
        <w:tc>
          <w:tcPr>
            <w:tcW w:type="dxa" w:w="4320"/>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1 to 25 profiles; unsupported fields are excluded</w:t>
            </w:r>
          </w:p>
        </w:tc>
      </w:tr>
    </w:tbl>
    <w:p>
      <w:pPr>
        <w:spacing w:after="0"/>
      </w:pPr>
    </w:p>
    <w:p>
      <w:pPr>
        <w:pStyle w:val="Heading2"/>
      </w:pPr>
      <w:r>
        <w:t>Input limits</w:t>
      </w:r>
    </w:p>
    <w:p>
      <w:pPr>
        <w:pStyle w:val="ListBullet"/>
      </w:pPr>
      <w:r>
        <w:t>Files must be valid UTF-8 and no larger than 256 KiB.</w:t>
      </w:r>
    </w:p>
    <w:p>
      <w:pPr>
        <w:pStyle w:val="ListBullet"/>
      </w:pPr>
      <w:r>
        <w:t>Each instruction profile supports up to 6,000 characters.</w:t>
      </w:r>
    </w:p>
    <w:p>
      <w:pPr>
        <w:pStyle w:val="ListBullet"/>
      </w:pPr>
      <w:r>
        <w:t>Employee JSON supports 1 to 25 profiles.</w:t>
      </w:r>
    </w:p>
    <w:p>
      <w:pPr>
        <w:pStyle w:val="ListBullet"/>
      </w:pPr>
      <w:r>
        <w:t>Names support 80 characters, roles 120, and source IDs 128.</w:t>
      </w:r>
    </w:p>
    <w:p>
      <w:pPr>
        <w:pStyle w:val="ListBullet"/>
      </w:pPr>
      <w:r>
        <w:t>A source ID may use letters, numbers, periods, underscores, colons, and hyphens.</w:t>
      </w:r>
    </w:p>
    <w:p>
      <w:pPr>
        <w:pStyle w:val="Heading1"/>
      </w:pPr>
      <w:r>
        <w:t>Prepare and review a profile</w:t>
      </w:r>
    </w:p>
    <w:p>
      <w:pPr>
        <w:spacing w:after="70" w:line="254" w:lineRule="auto"/>
        <w:ind w:left="403" w:hanging="360"/>
      </w:pPr>
      <w:r>
        <w:rPr>
          <w:rFonts w:ascii="Arial" w:hAnsi="Arial"/>
          <w:color w:val="101522"/>
          <w:sz w:val="19"/>
        </w:rPr>
        <w:t xml:space="preserve">1.  </w:t>
      </w:r>
      <w:r>
        <w:rPr>
          <w:rFonts w:ascii="Arial" w:hAnsi="Arial"/>
          <w:color w:val="101522"/>
          <w:sz w:val="19"/>
        </w:rPr>
        <w:t>Select the source before choosing a file. Changing source or input invalidates the earlier review.</w:t>
      </w:r>
    </w:p>
    <w:p>
      <w:pPr>
        <w:spacing w:after="70" w:line="254" w:lineRule="auto"/>
        <w:ind w:left="403" w:hanging="360"/>
      </w:pPr>
      <w:r>
        <w:rPr>
          <w:rFonts w:ascii="Arial" w:hAnsi="Arial"/>
          <w:color w:val="101522"/>
          <w:sz w:val="19"/>
        </w:rPr>
        <w:t xml:space="preserve">2.  </w:t>
      </w:r>
      <w:r>
        <w:rPr>
          <w:rFonts w:ascii="Arial" w:hAnsi="Arial"/>
          <w:color w:val="101522"/>
          <w:sz w:val="19"/>
        </w:rPr>
        <w:t>Paste instructions or choose a supported file. Grok and generic instructions accept .md or .txt. Hermes and Pi require the exact selected filename.</w:t>
      </w:r>
    </w:p>
    <w:p>
      <w:pPr>
        <w:spacing w:after="70" w:line="254" w:lineRule="auto"/>
        <w:ind w:left="403" w:hanging="360"/>
      </w:pPr>
      <w:r>
        <w:rPr>
          <w:rFonts w:ascii="Arial" w:hAnsi="Arial"/>
          <w:color w:val="101522"/>
          <w:sz w:val="19"/>
        </w:rPr>
        <w:t xml:space="preserve">3.  </w:t>
      </w:r>
      <w:r>
        <w:rPr>
          <w:rFonts w:ascii="Arial" w:hAnsi="Arial"/>
          <w:color w:val="101522"/>
          <w:sz w:val="19"/>
        </w:rPr>
        <w:t>Enter the name and role, then choose a stable unique source ID.</w:t>
      </w:r>
    </w:p>
    <w:p>
      <w:pPr>
        <w:spacing w:after="70" w:line="254" w:lineRule="auto"/>
        <w:ind w:left="403" w:hanging="360"/>
      </w:pPr>
      <w:r>
        <w:rPr>
          <w:rFonts w:ascii="Arial" w:hAnsi="Arial"/>
          <w:color w:val="101522"/>
          <w:sz w:val="19"/>
        </w:rPr>
        <w:t xml:space="preserve">4.  </w:t>
      </w:r>
      <w:r>
        <w:rPr>
          <w:rFonts w:ascii="Arial" w:hAnsi="Arial"/>
          <w:color w:val="101522"/>
          <w:sz w:val="19"/>
        </w:rPr>
        <w:t>Select Review conversion. Conversion happens in this browser with no source-account connection or AI call.</w:t>
      </w:r>
    </w:p>
    <w:p>
      <w:pPr>
        <w:spacing w:after="70" w:line="254" w:lineRule="auto"/>
        <w:ind w:left="403" w:hanging="360"/>
      </w:pPr>
      <w:r>
        <w:rPr>
          <w:rFonts w:ascii="Arial" w:hAnsi="Arial"/>
          <w:color w:val="101522"/>
          <w:sz w:val="19"/>
        </w:rPr>
        <w:t xml:space="preserve">5.  </w:t>
      </w:r>
      <w:r>
        <w:rPr>
          <w:rFonts w:ascii="Arial" w:hAnsi="Arial"/>
          <w:color w:val="101522"/>
          <w:sz w:val="19"/>
        </w:rPr>
        <w:t>Read the source, source ID, role, full instructions, and every warning. Source labels are declarations, not proof of authorship.</w:t>
      </w:r>
    </w:p>
    <w:p>
      <w:pPr>
        <w:spacing w:after="70" w:line="254" w:lineRule="auto"/>
        <w:ind w:left="403" w:hanging="360"/>
      </w:pPr>
      <w:r>
        <w:rPr>
          <w:rFonts w:ascii="Arial" w:hAnsi="Arial"/>
          <w:color w:val="101522"/>
          <w:sz w:val="19"/>
        </w:rPr>
        <w:t xml:space="preserve">6.  </w:t>
      </w:r>
      <w:r>
        <w:rPr>
          <w:rFonts w:ascii="Arial" w:hAnsi="Arial"/>
          <w:color w:val="101522"/>
          <w:sz w:val="19"/>
        </w:rPr>
        <w:t>Remove private information and unwanted behavior, then acknowledge the review.</w:t>
      </w:r>
    </w:p>
    <w:p>
      <w:r>
        <w:rPr>
          <w:b/>
        </w:rPr>
        <w:t xml:space="preserve">Transfers are intentionally narrow. </w:t>
      </w:r>
      <w:r>
        <w:t>They include declared identity, name, role, and instructions. Credentials, tools, permissions, models, skills, routines, memories, and conversations do not transfer.</w:t>
      </w:r>
    </w:p>
    <w:p>
      <w:r>
        <w:br w:type="page"/>
      </w:r>
    </w:p>
    <w:p>
      <w:pPr>
        <w:pStyle w:val="Heading1"/>
      </w:pPr>
      <w:r>
        <w:t>Use the virtual workspace</w:t>
      </w:r>
    </w:p>
    <w:p>
      <w:r>
        <w:t>After acknowledgment, select Import into virtual workspace. The dynamic visual advances from preparation to review and then to the imported state. The roster lives only in browser memory and disappears when you leave or reload the page. It does not upload data or modify the hosted workspace.</w:t>
      </w:r>
    </w:p>
    <w:p>
      <w:r>
        <w:t>The rehearsal accepts up to 25 profiles. Each source and source ID pair must be unique. If a duplicate is reported, reset the rehearsal or return to the editor, use a different stable source ID, and review again.</w:t>
      </w:r>
    </w:p>
    <w:p>
      <w:pPr>
        <w:pStyle w:val="Heading2"/>
      </w:pPr>
      <w:r>
        <w:t>Reverse export</w:t>
      </w:r>
    </w:p>
    <w:p>
      <w:pPr>
        <w:spacing w:after="70" w:line="254" w:lineRule="auto"/>
        <w:ind w:left="403" w:hanging="360"/>
      </w:pPr>
      <w:r>
        <w:rPr>
          <w:rFonts w:ascii="Arial" w:hAnsi="Arial"/>
          <w:color w:val="101522"/>
          <w:sz w:val="19"/>
        </w:rPr>
        <w:t xml:space="preserve">1.  </w:t>
      </w:r>
      <w:r>
        <w:rPr>
          <w:rFonts w:ascii="Arial" w:hAnsi="Arial"/>
          <w:color w:val="101522"/>
          <w:sz w:val="19"/>
        </w:rPr>
        <w:t>Choose an imported profile under Profile to export.</w:t>
      </w:r>
    </w:p>
    <w:p>
      <w:pPr>
        <w:spacing w:after="70" w:line="254" w:lineRule="auto"/>
        <w:ind w:left="403" w:hanging="360"/>
      </w:pPr>
      <w:r>
        <w:rPr>
          <w:rFonts w:ascii="Arial" w:hAnsi="Arial"/>
          <w:color w:val="101522"/>
          <w:sz w:val="19"/>
        </w:rPr>
        <w:t xml:space="preserve">2.  </w:t>
      </w:r>
      <w:r>
        <w:rPr>
          <w:rFonts w:ascii="Arial" w:hAnsi="Arial"/>
          <w:color w:val="101522"/>
          <w:sz w:val="19"/>
        </w:rPr>
        <w:t>Choose Grok, Hermes SOUL.md, Pi AGENTS.md, Pi SYSTEM.md, or Instruction Markdown.</w:t>
      </w:r>
    </w:p>
    <w:p>
      <w:pPr>
        <w:spacing w:after="70" w:line="254" w:lineRule="auto"/>
        <w:ind w:left="403" w:hanging="360"/>
      </w:pPr>
      <w:r>
        <w:rPr>
          <w:rFonts w:ascii="Arial" w:hAnsi="Arial"/>
          <w:color w:val="101522"/>
          <w:sz w:val="19"/>
        </w:rPr>
        <w:t xml:space="preserve">3.  </w:t>
      </w:r>
      <w:r>
        <w:rPr>
          <w:rFonts w:ascii="Arial" w:hAnsi="Arial"/>
          <w:color w:val="101522"/>
          <w:sz w:val="19"/>
        </w:rPr>
        <w:t>Select Review instruction export and read the full output and warnings.</w:t>
      </w:r>
    </w:p>
    <w:p>
      <w:pPr>
        <w:spacing w:after="70" w:line="254" w:lineRule="auto"/>
        <w:ind w:left="403" w:hanging="360"/>
      </w:pPr>
      <w:r>
        <w:rPr>
          <w:rFonts w:ascii="Arial" w:hAnsi="Arial"/>
          <w:color w:val="101522"/>
          <w:sz w:val="19"/>
        </w:rPr>
        <w:t xml:space="preserve">4.  </w:t>
      </w:r>
      <w:r>
        <w:rPr>
          <w:rFonts w:ascii="Arial" w:hAnsi="Arial"/>
          <w:color w:val="101522"/>
          <w:sz w:val="19"/>
        </w:rPr>
        <w:t>Acknowledge the export review, then select Download reviewed instructions.</w:t>
      </w:r>
    </w:p>
    <w:p>
      <w:pPr>
        <w:spacing w:after="70" w:line="254" w:lineRule="auto"/>
        <w:ind w:left="403" w:hanging="360"/>
      </w:pPr>
      <w:r>
        <w:rPr>
          <w:rFonts w:ascii="Arial" w:hAnsi="Arial"/>
          <w:color w:val="101522"/>
          <w:sz w:val="19"/>
        </w:rPr>
        <w:t xml:space="preserve">5.  </w:t>
      </w:r>
      <w:r>
        <w:rPr>
          <w:rFonts w:ascii="Arial" w:hAnsi="Arial"/>
          <w:color w:val="101522"/>
          <w:sz w:val="19"/>
        </w:rPr>
        <w:t>Place or copy the file manually in the destination application.</w:t>
      </w:r>
    </w:p>
    <w:p>
      <w:r>
        <w:rPr>
          <w:b/>
        </w:rPr>
        <w:t xml:space="preserve">Text only. </w:t>
      </w:r>
      <w:r>
        <w:t>Reverse exports do not connect accounts, configure tools, install an agent, or carry profile identity. Keep the THOX Employee JSON beside the instruction file when you need a complete profile round trip.</w:t>
      </w:r>
    </w:p>
    <w:p>
      <w:pPr>
        <w:pStyle w:val="Heading1"/>
      </w:pPr>
      <w:r>
        <w:t>Import into the hosted workspace</w:t>
      </w:r>
    </w:p>
    <w:p>
      <w:pPr>
        <w:spacing w:after="70" w:line="254" w:lineRule="auto"/>
        <w:ind w:left="403" w:hanging="360"/>
      </w:pPr>
      <w:r>
        <w:rPr>
          <w:rFonts w:ascii="Arial" w:hAnsi="Arial"/>
          <w:color w:val="101522"/>
          <w:sz w:val="19"/>
        </w:rPr>
        <w:t xml:space="preserve">1.  </w:t>
      </w:r>
      <w:r>
        <w:rPr>
          <w:rFonts w:ascii="Arial" w:hAnsi="Arial"/>
          <w:color w:val="101522"/>
          <w:sz w:val="19"/>
        </w:rPr>
        <w:t>Download thoxemployee-reviewed-profiles.json from the transfer review.</w:t>
      </w:r>
    </w:p>
    <w:p>
      <w:pPr>
        <w:spacing w:after="70" w:line="254" w:lineRule="auto"/>
        <w:ind w:left="403" w:hanging="360"/>
      </w:pPr>
      <w:r>
        <w:rPr>
          <w:rFonts w:ascii="Arial" w:hAnsi="Arial"/>
          <w:color w:val="101522"/>
          <w:sz w:val="19"/>
        </w:rPr>
        <w:t xml:space="preserve">2.  </w:t>
      </w:r>
      <w:r>
        <w:rPr>
          <w:rFonts w:ascii="Arial" w:hAnsi="Arial"/>
          <w:color w:val="101522"/>
          <w:sz w:val="19"/>
        </w:rPr>
        <w:t>Open the hosted workspace and select Employees &gt; Import employee JSON.</w:t>
      </w:r>
    </w:p>
    <w:p>
      <w:pPr>
        <w:spacing w:after="70" w:line="254" w:lineRule="auto"/>
        <w:ind w:left="403" w:hanging="360"/>
      </w:pPr>
      <w:r>
        <w:rPr>
          <w:rFonts w:ascii="Arial" w:hAnsi="Arial"/>
          <w:color w:val="101522"/>
          <w:sz w:val="19"/>
        </w:rPr>
        <w:t xml:space="preserve">3.  </w:t>
      </w:r>
      <w:r>
        <w:rPr>
          <w:rFonts w:ascii="Arial" w:hAnsi="Arial"/>
          <w:color w:val="101522"/>
          <w:sz w:val="19"/>
        </w:rPr>
        <w:t>Choose the reviewed file. This selection uploads it to the private guest workspace.</w:t>
      </w:r>
    </w:p>
    <w:p>
      <w:pPr>
        <w:spacing w:after="70" w:line="254" w:lineRule="auto"/>
        <w:ind w:left="403" w:hanging="360"/>
      </w:pPr>
      <w:r>
        <w:rPr>
          <w:rFonts w:ascii="Arial" w:hAnsi="Arial"/>
          <w:color w:val="101522"/>
          <w:sz w:val="19"/>
        </w:rPr>
        <w:t xml:space="preserve">4.  </w:t>
      </w:r>
      <w:r>
        <w:rPr>
          <w:rFonts w:ascii="Arial" w:hAnsi="Arial"/>
          <w:color w:val="101522"/>
          <w:sz w:val="19"/>
        </w:rPr>
        <w:t>Review every profile and replacement choice. Unchanged profiles are skipped. Existing changed profiles are replaced only when you select the replacement checkbox.</w:t>
      </w:r>
    </w:p>
    <w:p>
      <w:pPr>
        <w:spacing w:after="70" w:line="254" w:lineRule="auto"/>
        <w:ind w:left="403" w:hanging="360"/>
      </w:pPr>
      <w:r>
        <w:rPr>
          <w:rFonts w:ascii="Arial" w:hAnsi="Arial"/>
          <w:color w:val="101522"/>
          <w:sz w:val="19"/>
        </w:rPr>
        <w:t xml:space="preserve">5.  </w:t>
      </w:r>
      <w:r>
        <w:rPr>
          <w:rFonts w:ascii="Arial" w:hAnsi="Arial"/>
          <w:color w:val="101522"/>
          <w:sz w:val="19"/>
        </w:rPr>
        <w:t>Confirm that the instructions and choices contain no credentials you want to keep private.</w:t>
      </w:r>
    </w:p>
    <w:p>
      <w:pPr>
        <w:spacing w:after="70" w:line="254" w:lineRule="auto"/>
        <w:ind w:left="403" w:hanging="360"/>
      </w:pPr>
      <w:r>
        <w:rPr>
          <w:rFonts w:ascii="Arial" w:hAnsi="Arial"/>
          <w:color w:val="101522"/>
          <w:sz w:val="19"/>
        </w:rPr>
        <w:t xml:space="preserve">6.  </w:t>
      </w:r>
      <w:r>
        <w:rPr>
          <w:rFonts w:ascii="Arial" w:hAnsi="Arial"/>
          <w:color w:val="101522"/>
          <w:sz w:val="19"/>
        </w:rPr>
        <w:t>Select Confirm employee import before the preview expires.</w:t>
      </w:r>
    </w:p>
    <w:p>
      <w:r>
        <w:rPr>
          <w:b/>
        </w:rPr>
        <w:t xml:space="preserve">Import creates profiles only. </w:t>
      </w:r>
      <w:r>
        <w:t>It does not start tasks, grant permissions, configure tools, or authorize external action.</w:t>
      </w:r>
    </w:p>
    <w:p>
      <w:pPr>
        <w:pStyle w:val="Heading1"/>
      </w:pPr>
      <w:r>
        <w:t>Create and review a hosted task</w:t>
      </w:r>
    </w:p>
    <w:p>
      <w:pPr>
        <w:spacing w:after="70" w:line="254" w:lineRule="auto"/>
        <w:ind w:left="403" w:hanging="360"/>
      </w:pPr>
      <w:r>
        <w:rPr>
          <w:rFonts w:ascii="Arial" w:hAnsi="Arial"/>
          <w:color w:val="101522"/>
          <w:sz w:val="19"/>
        </w:rPr>
        <w:t xml:space="preserve">1.  </w:t>
      </w:r>
      <w:r>
        <w:rPr>
          <w:rFonts w:ascii="Arial" w:hAnsi="Arial"/>
          <w:color w:val="101522"/>
          <w:sz w:val="19"/>
        </w:rPr>
        <w:t>Add a title and brief, or load the fictional example brief.</w:t>
      </w:r>
    </w:p>
    <w:p>
      <w:pPr>
        <w:spacing w:after="70" w:line="254" w:lineRule="auto"/>
        <w:ind w:left="403" w:hanging="360"/>
      </w:pPr>
      <w:r>
        <w:rPr>
          <w:rFonts w:ascii="Arial" w:hAnsi="Arial"/>
          <w:color w:val="101522"/>
          <w:sz w:val="19"/>
        </w:rPr>
        <w:t xml:space="preserve">2.  </w:t>
      </w:r>
      <w:r>
        <w:rPr>
          <w:rFonts w:ascii="Arial" w:hAnsi="Arial"/>
          <w:color w:val="101522"/>
          <w:sz w:val="19"/>
        </w:rPr>
        <w:t>Choose one employee, the first three, or a custom handoff order of up to three employees.</w:t>
      </w:r>
    </w:p>
    <w:p>
      <w:pPr>
        <w:spacing w:after="70" w:line="254" w:lineRule="auto"/>
        <w:ind w:left="403" w:hanging="360"/>
      </w:pPr>
      <w:r>
        <w:rPr>
          <w:rFonts w:ascii="Arial" w:hAnsi="Arial"/>
          <w:color w:val="101522"/>
          <w:sz w:val="19"/>
        </w:rPr>
        <w:t xml:space="preserve">3.  </w:t>
      </w:r>
      <w:r>
        <w:rPr>
          <w:rFonts w:ascii="Arial" w:hAnsi="Arial"/>
          <w:color w:val="101522"/>
          <w:sz w:val="19"/>
        </w:rPr>
        <w:t>Create the task. This does not call a model.</w:t>
      </w:r>
    </w:p>
    <w:p>
      <w:pPr>
        <w:spacing w:after="70" w:line="254" w:lineRule="auto"/>
        <w:ind w:left="403" w:hanging="360"/>
      </w:pPr>
      <w:r>
        <w:rPr>
          <w:rFonts w:ascii="Arial" w:hAnsi="Arial"/>
          <w:color w:val="101522"/>
          <w:sz w:val="19"/>
        </w:rPr>
        <w:t xml:space="preserve">4.  </w:t>
      </w:r>
      <w:r>
        <w:rPr>
          <w:rFonts w:ascii="Arial" w:hAnsi="Arial"/>
          <w:color w:val="101522"/>
          <w:sz w:val="19"/>
        </w:rPr>
        <w:t>Read the hosted AI consent, confirm the material is non-sensitive, and check the consent box.</w:t>
      </w:r>
    </w:p>
    <w:p>
      <w:pPr>
        <w:spacing w:after="70" w:line="254" w:lineRule="auto"/>
        <w:ind w:left="403" w:hanging="360"/>
      </w:pPr>
      <w:r>
        <w:rPr>
          <w:rFonts w:ascii="Arial" w:hAnsi="Arial"/>
          <w:color w:val="101522"/>
          <w:sz w:val="19"/>
        </w:rPr>
        <w:t xml:space="preserve">5.  </w:t>
      </w:r>
      <w:r>
        <w:rPr>
          <w:rFonts w:ascii="Arial" w:hAnsi="Arial"/>
          <w:color w:val="101522"/>
          <w:sz w:val="19"/>
        </w:rPr>
        <w:t>Open the task and confirm enough calls remain for every selected employee.</w:t>
      </w:r>
    </w:p>
    <w:p>
      <w:pPr>
        <w:spacing w:after="70" w:line="254" w:lineRule="auto"/>
        <w:ind w:left="403" w:hanging="360"/>
      </w:pPr>
      <w:r>
        <w:rPr>
          <w:rFonts w:ascii="Arial" w:hAnsi="Arial"/>
          <w:color w:val="101522"/>
          <w:sz w:val="19"/>
        </w:rPr>
        <w:t xml:space="preserve">6.  </w:t>
      </w:r>
      <w:r>
        <w:rPr>
          <w:rFonts w:ascii="Arial" w:hAnsi="Arial"/>
          <w:color w:val="101522"/>
          <w:sz w:val="19"/>
        </w:rPr>
        <w:t>Select Run live AI when available. There is no automatic retry.</w:t>
      </w:r>
    </w:p>
    <w:p>
      <w:pPr>
        <w:spacing w:after="70" w:line="254" w:lineRule="auto"/>
        <w:ind w:left="403" w:hanging="360"/>
      </w:pPr>
      <w:r>
        <w:rPr>
          <w:rFonts w:ascii="Arial" w:hAnsi="Arial"/>
          <w:color w:val="101522"/>
          <w:sz w:val="19"/>
        </w:rPr>
        <w:t xml:space="preserve">7.  </w:t>
      </w:r>
      <w:r>
        <w:rPr>
          <w:rFonts w:ascii="Arial" w:hAnsi="Arial"/>
          <w:color w:val="101522"/>
          <w:sz w:val="19"/>
        </w:rPr>
        <w:t>Read each ordered handoff. Approve or reject the final draft. Approval records your decision and performs no external action.</w:t>
      </w:r>
    </w:p>
    <w:p>
      <w:pPr>
        <w:spacing w:after="70" w:line="254" w:lineRule="auto"/>
        <w:ind w:left="403" w:hanging="360"/>
      </w:pPr>
      <w:r>
        <w:rPr>
          <w:rFonts w:ascii="Arial" w:hAnsi="Arial"/>
          <w:color w:val="101522"/>
          <w:sz w:val="19"/>
        </w:rPr>
        <w:t xml:space="preserve">8.  </w:t>
      </w:r>
      <w:r>
        <w:rPr>
          <w:rFonts w:ascii="Arial" w:hAnsi="Arial"/>
          <w:color w:val="101522"/>
          <w:sz w:val="19"/>
        </w:rPr>
        <w:t>Use Export handoff to keep the written record. Earlier completed handoffs remain reviewable if a later step fails.</w:t>
      </w:r>
    </w:p>
    <w:p>
      <w:pPr>
        <w:pStyle w:val="Heading2"/>
      </w:pPr>
      <w:r>
        <w:t>Use View task</w:t>
      </w:r>
    </w:p>
    <w:p>
      <w:r>
        <w:t>In Recent activity, Activity, or the task audit, select View task beside an event. ThoxEmployee opens the matching task, scrolls to its title, and moves keyboard focus to that heading. Selecting View task inside the current task audit returns focus to that task heading. Use All tasks to return to the list.</w:t>
      </w:r>
    </w:p>
    <w:p>
      <w:pPr>
        <w:pStyle w:val="Heading2"/>
      </w:pPr>
      <w:r>
        <w:t>Understand calls and retries</w:t>
      </w:r>
    </w:p>
    <w:p>
      <w:pPr>
        <w:pStyle w:val="ListBullet"/>
      </w:pPr>
      <w:r>
        <w:t>One employee step uses one live model call.</w:t>
      </w:r>
    </w:p>
    <w:p>
      <w:pPr>
        <w:pStyle w:val="ListBullet"/>
      </w:pPr>
      <w:r>
        <w:t>A full run needs enough remaining calls for every selected employee.</w:t>
      </w:r>
    </w:p>
    <w:p>
      <w:pPr>
        <w:pStyle w:val="ListBullet"/>
      </w:pPr>
      <w:r>
        <w:t>An explicit retry restarts the whole team. Earlier attempts stay saved.</w:t>
      </w:r>
    </w:p>
    <w:p>
      <w:pPr>
        <w:pStyle w:val="ListBullet"/>
      </w:pPr>
      <w:r>
        <w:t>Failed and reserved calls remain counted. Nothing retries automatically.</w:t>
      </w:r>
    </w:p>
    <w:p>
      <w:pPr>
        <w:pStyle w:val="Heading2"/>
      </w:pPr>
      <w:r>
        <w:t>Review remains mandatory</w:t>
      </w:r>
    </w:p>
    <w:p>
      <w:r>
        <w:t>Generated text is a draft. HTTP success, import, a model response, or approval does not grant execution authority. The demo does not run tools, send messages, or change external systems.</w:t>
      </w:r>
    </w:p>
    <w:p>
      <w:pPr>
        <w:pStyle w:val="Heading1"/>
      </w:pPr>
      <w:r>
        <w:t>Hosted AI consent and limits</w:t>
      </w:r>
    </w:p>
    <w:p>
      <w:r>
        <w:t>The workspace shows Hosted AI · live when the service is configured and Live calls unavailable when it is not. A configured-state badge does not guarantee that a particular provider request will complete.</w:t>
      </w:r>
    </w:p>
    <w:p>
      <w:r>
        <w:t>Before a run, ThoxEmployee asks permission to send the task title and brief, selected employee names, roles and instructions, and earlier written handoffs through the THOX-managed hosted inference path. The hosted path uses external infrastructure and model subprocessors and is separate from THOX local runtimes.</w:t>
      </w:r>
    </w:p>
    <w:p>
      <w:r>
        <w:rPr>
          <w:b/>
        </w:rPr>
        <w:t xml:space="preserve">Current displayed daily limits. </w:t>
      </w:r>
      <w:r>
        <w:t>6 calls per visitor, 18 per network address, and 120 across the demo. The tightest remaining limit controls whether a team can run. These are call limits, not a dollar spending cap.</w:t>
      </w:r>
    </w:p>
    <w:p>
      <w:r>
        <w:rPr>
          <w:b/>
        </w:rPr>
        <w:t xml:space="preserve">Guest lifetime. </w:t>
      </w:r>
      <w:r>
        <w:t>Workspace access expires after 24 hours. Export anything you want to keep. Clearing or expiring a workspace does not reset call limits or retract content already sent for inference.</w:t>
      </w:r>
    </w:p>
    <w:p>
      <w:pPr>
        <w:pStyle w:val="Heading1"/>
      </w:pPr>
      <w:r>
        <w:t>Privacy and ownership</w:t>
      </w:r>
    </w:p>
    <w:p>
      <w:pPr>
        <w:pStyle w:val="ListBullet"/>
      </w:pPr>
      <w:r>
        <w:t>The transfer page converts profiles and runs the virtual rehearsal in browser memory. It does not connect source accounts or request AI generation.</w:t>
      </w:r>
    </w:p>
    <w:p>
      <w:pPr>
        <w:pStyle w:val="ListBullet"/>
      </w:pPr>
      <w:r>
        <w:t>Importing Employee JSON into the hosted workspace uploads the reviewed profile to the guest session.</w:t>
      </w:r>
    </w:p>
    <w:p>
      <w:pPr>
        <w:pStyle w:val="ListBullet"/>
      </w:pPr>
      <w:r>
        <w:t>Do not submit personal, sensitive, confidential, or credential-bearing material. Credential checks are incomplete.</w:t>
      </w:r>
    </w:p>
    <w:p>
      <w:pPr>
        <w:pStyle w:val="ListBullet"/>
      </w:pPr>
      <w:r>
        <w:t>Session and network-address digests enforce limits without storing raw network addresses in the demo quota tables. Hosting and model subprocessors have their own operational retention policies.</w:t>
      </w:r>
    </w:p>
    <w:p>
      <w:pPr>
        <w:pStyle w:val="Heading1"/>
      </w:pPr>
      <w:r>
        <w:t>Intellectual property</w:t>
      </w:r>
    </w:p>
    <w:p>
      <w:pPr>
        <w:pStyle w:val="ListBullet"/>
      </w:pPr>
      <w:r>
        <w:t>THOX names, marks, and website materials remain subject to applicable intellectual property terms.</w:t>
      </w:r>
    </w:p>
    <w:p>
      <w:pPr>
        <w:pStyle w:val="ListBullet"/>
      </w:pPr>
      <w:r>
        <w:t>The workspace and transfer conversion retain their stated MIT notices.</w:t>
      </w:r>
    </w:p>
    <w:p>
      <w:pPr>
        <w:pStyle w:val="ListBullet"/>
      </w:pPr>
      <w:r>
        <w:t>Grok, Hermes, and Pi identify compatible instruction sources. THOX does not claim affiliation or endorsement.</w:t>
      </w:r>
    </w:p>
    <w:p>
      <w:r>
        <w:br w:type="page"/>
      </w:r>
    </w:p>
    <w:p>
      <w:pPr>
        <w:pStyle w:val="Heading1"/>
      </w:pPr>
      <w:r>
        <w:t>Troubleshooting</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2088"/>
            <w:shd w:fill="10152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vAlign w:val="center"/>
          </w:tcPr>
          <w:p>
            <w:pPr>
              <w:spacing w:after="0"/>
            </w:pPr>
            <w:r>
              <w:rPr>
                <w:rFonts w:ascii="Arial" w:hAnsi="Arial"/>
                <w:b/>
                <w:color w:val="FFFFFF"/>
                <w:sz w:val="17"/>
              </w:rPr>
              <w:t>Message or symptom</w:t>
            </w:r>
          </w:p>
        </w:tc>
        <w:tc>
          <w:tcPr>
            <w:tcW w:type="dxa" w:w="3672"/>
            <w:shd w:fill="10152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vAlign w:val="center"/>
          </w:tcPr>
          <w:p>
            <w:pPr>
              <w:spacing w:after="0"/>
            </w:pPr>
            <w:r>
              <w:rPr>
                <w:rFonts w:ascii="Arial" w:hAnsi="Arial"/>
                <w:b/>
                <w:color w:val="FFFFFF"/>
                <w:sz w:val="17"/>
              </w:rPr>
              <w:t>Meaning</w:t>
            </w:r>
          </w:p>
        </w:tc>
        <w:tc>
          <w:tcPr>
            <w:tcW w:type="dxa" w:w="4061"/>
            <w:shd w:fill="10152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vAlign w:val="center"/>
          </w:tcPr>
          <w:p>
            <w:pPr>
              <w:spacing w:after="0"/>
            </w:pPr>
            <w:r>
              <w:rPr>
                <w:rFonts w:ascii="Arial" w:hAnsi="Arial"/>
                <w:b/>
                <w:color w:val="FFFFFF"/>
                <w:sz w:val="17"/>
              </w:rPr>
              <w:t>Next step</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Response length limit</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The provider stopped for length or exceeded the accepted handoff size. No completed output was saved.</w:t>
            </w:r>
          </w:p>
        </w:tc>
        <w:tc>
          <w:tcPr>
            <w:tcW w:type="dxa" w:w="4061"/>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Narrow the task or shorten employee instructions, then retry explicitly if calls remain. The reserved call stays counted.</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Invalid or incomplete handoff</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The response was empty, malformed, unsupported, or attempted a tool or function payload.</w:t>
            </w:r>
          </w:p>
        </w:tc>
        <w:tc>
          <w:tcPr>
            <w:tcW w:type="dxa" w:w="4061"/>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Review the brief and instructions. Retry explicitly only when calls remain. Earlier completed work stays in attempt history.</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Content restriction</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The provider refused or filtered the step.</w:t>
            </w:r>
          </w:p>
        </w:tc>
        <w:tc>
          <w:tcPr>
            <w:tcW w:type="dxa" w:w="4061"/>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Revise the brief or employee instructions before an explicit retry.</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Provider could not complete the step</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The hosted service rejected, interrupted, timed out, or could not account for the request.</w:t>
            </w:r>
          </w:p>
        </w:tc>
        <w:tc>
          <w:tcPr>
            <w:tcW w:type="dxa" w:w="4061"/>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Export completed handoffs, check availability and limits, and retry later. No automatic retry occurs.</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Run button disabled</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Consent is unchecked, the service is unavailable, another run is active, or quota cannot cover the team.</w:t>
            </w:r>
          </w:p>
        </w:tc>
        <w:tc>
          <w:tcPr>
            <w:tcW w:type="dxa" w:w="4061"/>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Complete consent, wait for the active run, reduce the team, or wait for the displayed reset.</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File cannot be reviewed</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The file is empty, too large, non-UTF-8, incorrectly named, or unsupported JSON.</w:t>
            </w:r>
          </w:p>
        </w:tc>
        <w:tc>
          <w:tcPr>
            <w:tcW w:type="dxa" w:w="4061"/>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Save valid UTF-8, select the matching source, use the required filename, and review again.</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Duplicate source identity</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The workspace already has the same source and source ID.</w:t>
            </w:r>
          </w:p>
        </w:tc>
        <w:tc>
          <w:tcPr>
            <w:tcW w:type="dxa" w:w="4061"/>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FFFFF"/>
            <w:vAlign w:val="center"/>
          </w:tcPr>
          <w:p>
            <w:pPr>
              <w:spacing w:after="0" w:line="259" w:lineRule="auto"/>
            </w:pPr>
            <w:r>
              <w:rPr>
                <w:rFonts w:ascii="Arial" w:hAnsi="Arial"/>
                <w:color w:val="101522"/>
                <w:sz w:val="16"/>
              </w:rPr>
              <w:t>Use another stable ID, reset the rehearsal, or deliberately select the hosted replacement.</w:t>
            </w:r>
          </w:p>
        </w:tc>
      </w:tr>
      <w:tr>
        <w:tc>
          <w:tcPr>
            <w:tcW w:type="dxa" w:w="2088"/>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View task misses expected work</w:t>
            </w:r>
          </w:p>
        </w:tc>
        <w:tc>
          <w:tcPr>
            <w:tcW w:type="dxa" w:w="3672"/>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The activity may be from a cleared or expired session, or the browser state is stale.</w:t>
            </w:r>
          </w:p>
        </w:tc>
        <w:tc>
          <w:tcPr>
            <w:tcW w:type="dxa" w:w="4061"/>
            <w:tcBorders>
              <w:top w:val="single" w:sz="5" w:color="D9D9D9"/>
              <w:left w:val="single" w:sz="5" w:color="D9D9D9"/>
              <w:bottom w:val="single" w:sz="5" w:color="D9D9D9"/>
              <w:right w:val="single" w:sz="5" w:color="D9D9D9"/>
              <w:insideH w:val="single" w:sz="5" w:color="D9D9D9"/>
              <w:insideV w:val="single" w:sz="5" w:color="D9D9D9"/>
            </w:tcBorders>
            <w:tcMar>
              <w:top w:w="120" w:type="dxa"/>
              <w:start w:w="130" w:type="dxa"/>
              <w:bottom w:w="120" w:type="dxa"/>
              <w:end w:w="130" w:type="dxa"/>
            </w:tcMar>
            <w:shd w:fill="F4F7F6"/>
            <w:vAlign w:val="center"/>
          </w:tcPr>
          <w:p>
            <w:pPr>
              <w:spacing w:after="0" w:line="259" w:lineRule="auto"/>
            </w:pPr>
            <w:r>
              <w:rPr>
                <w:rFonts w:ascii="Arial" w:hAnsi="Arial"/>
                <w:color w:val="101522"/>
                <w:sz w:val="16"/>
              </w:rPr>
              <w:t>Refresh and use the current Activity view. Work from an expired or cleared session cannot be restored from its old link.</w:t>
            </w:r>
          </w:p>
        </w:tc>
      </w:tr>
    </w:tbl>
    <w:p>
      <w:pPr>
        <w:spacing w:after="0"/>
      </w:pPr>
    </w:p>
    <w:p>
      <w:r>
        <w:br w:type="page"/>
      </w:r>
    </w:p>
    <w:p>
      <w:pPr>
        <w:pStyle w:val="Heading1"/>
      </w:pPr>
      <w:r>
        <w:t>Verified production links</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2880"/>
            <w:shd w:fill="101522"/>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tcPr>
          <w:p>
            <w:r>
              <w:rPr>
                <w:rFonts w:ascii="Arial" w:hAnsi="Arial"/>
                <w:b/>
                <w:color w:val="FFFFFF"/>
                <w:sz w:val="17"/>
              </w:rPr>
              <w:t>Resource</w:t>
            </w:r>
          </w:p>
        </w:tc>
        <w:tc>
          <w:tcPr>
            <w:tcW w:type="dxa" w:w="6912"/>
            <w:shd w:fill="101522"/>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tcPr>
          <w:p>
            <w:r>
              <w:rPr>
                <w:rFonts w:ascii="Arial" w:hAnsi="Arial"/>
                <w:b/>
                <w:color w:val="FFFFFF"/>
                <w:sz w:val="17"/>
              </w:rPr>
              <w:t>Verified link</w:t>
            </w:r>
          </w:p>
        </w:tc>
      </w:tr>
      <w:tr>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FFFFF"/>
            <w:vAlign w:val="center"/>
          </w:tcPr>
          <w:p>
            <w:r>
              <w:rPr>
                <w:rFonts w:ascii="Arial" w:hAnsi="Arial"/>
                <w:b/>
                <w:color w:val="101522"/>
                <w:sz w:val="17"/>
              </w:rPr>
              <w:t>Hosted workspace</w:t>
            </w:r>
          </w:p>
        </w:tc>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FFFFF"/>
            <w:vAlign w:val="center"/>
          </w:tcPr>
          <w:p>
            <w:hyperlink r:id="rId14">
              <w:r>
                <w:rPr>
                  <w:color w:val="03763B"/>
                  <w:u w:val="single"/>
                  <w:rFonts w:ascii="Arial" w:hAnsi="Arial"/>
                </w:rPr>
                <w:t>Open hosted workspace</w:t>
              </w:r>
            </w:hyperlink>
          </w:p>
        </w:tc>
      </w:tr>
      <w:tr>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4F7F6"/>
            <w:vAlign w:val="center"/>
          </w:tcPr>
          <w:p>
            <w:r>
              <w:rPr>
                <w:rFonts w:ascii="Arial" w:hAnsi="Arial"/>
                <w:b/>
                <w:color w:val="101522"/>
                <w:sz w:val="17"/>
              </w:rPr>
              <w:t>Transfer and virtual demo</w:t>
            </w:r>
          </w:p>
        </w:tc>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4F7F6"/>
            <w:vAlign w:val="center"/>
          </w:tcPr>
          <w:p>
            <w:hyperlink r:id="rId15">
              <w:r>
                <w:rPr>
                  <w:color w:val="03763B"/>
                  <w:u w:val="single"/>
                  <w:rFonts w:ascii="Arial" w:hAnsi="Arial"/>
                </w:rPr>
                <w:t>Open transfer and virtual demo</w:t>
              </w:r>
            </w:hyperlink>
          </w:p>
        </w:tc>
      </w:tr>
      <w:tr>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FFFFF"/>
            <w:vAlign w:val="center"/>
          </w:tcPr>
          <w:p>
            <w:r>
              <w:rPr>
                <w:rFonts w:ascii="Arial" w:hAnsi="Arial"/>
                <w:b/>
                <w:color w:val="101522"/>
                <w:sz w:val="17"/>
              </w:rPr>
              <w:t>Licenses and notices</w:t>
            </w:r>
          </w:p>
        </w:tc>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FFFFF"/>
            <w:vAlign w:val="center"/>
          </w:tcPr>
          <w:p>
            <w:hyperlink r:id="rId16">
              <w:r>
                <w:rPr>
                  <w:color w:val="03763B"/>
                  <w:u w:val="single"/>
                  <w:rFonts w:ascii="Arial" w:hAnsi="Arial"/>
                </w:rPr>
                <w:t>Open licenses and notices</w:t>
              </w:r>
            </w:hyperlink>
          </w:p>
        </w:tc>
      </w:tr>
      <w:tr>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4F7F6"/>
            <w:vAlign w:val="center"/>
          </w:tcPr>
          <w:p>
            <w:r>
              <w:rPr>
                <w:rFonts w:ascii="Arial" w:hAnsi="Arial"/>
                <w:b/>
                <w:color w:val="101522"/>
                <w:sz w:val="17"/>
              </w:rPr>
              <w:t>Privacy notice</w:t>
            </w:r>
          </w:p>
        </w:tc>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4F7F6"/>
            <w:vAlign w:val="center"/>
          </w:tcPr>
          <w:p>
            <w:hyperlink r:id="rId17">
              <w:r>
                <w:rPr>
                  <w:color w:val="03763B"/>
                  <w:u w:val="single"/>
                  <w:rFonts w:ascii="Arial" w:hAnsi="Arial"/>
                </w:rPr>
                <w:t>Open privacy notice</w:t>
              </w:r>
            </w:hyperlink>
          </w:p>
        </w:tc>
      </w:tr>
      <w:tr>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FFFFF"/>
            <w:vAlign w:val="center"/>
          </w:tcPr>
          <w:p>
            <w:r>
              <w:rPr>
                <w:rFonts w:ascii="Arial" w:hAnsi="Arial"/>
                <w:b/>
                <w:color w:val="101522"/>
                <w:sz w:val="17"/>
              </w:rPr>
              <w:t>Intellectual property terms</w:t>
            </w:r>
          </w:p>
        </w:tc>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FFFFF"/>
            <w:vAlign w:val="center"/>
          </w:tcPr>
          <w:p>
            <w:hyperlink r:id="rId18">
              <w:r>
                <w:rPr>
                  <w:color w:val="03763B"/>
                  <w:u w:val="single"/>
                  <w:rFonts w:ascii="Arial" w:hAnsi="Arial"/>
                </w:rPr>
                <w:t>Open intellectual property terms</w:t>
              </w:r>
            </w:hyperlink>
          </w:p>
        </w:tc>
      </w:tr>
      <w:tr>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4F7F6"/>
            <w:vAlign w:val="center"/>
          </w:tcPr>
          <w:p>
            <w:r>
              <w:rPr>
                <w:rFonts w:ascii="Arial" w:hAnsi="Arial"/>
                <w:b/>
                <w:color w:val="101522"/>
                <w:sz w:val="17"/>
              </w:rPr>
              <w:t>ThoxEmployee resources</w:t>
            </w:r>
          </w:p>
        </w:tc>
        <w:tc>
          <w:tcPr>
            <w:tcW w:type="dxa" w:w="5083"/>
            <w:tcBorders>
              <w:top w:val="single" w:sz="5" w:color="D9D9D9"/>
              <w:left w:val="single" w:sz="5" w:color="D9D9D9"/>
              <w:bottom w:val="single" w:sz="5" w:color="D9D9D9"/>
              <w:right w:val="single" w:sz="5" w:color="D9D9D9"/>
              <w:insideH w:val="single" w:sz="5" w:color="D9D9D9"/>
              <w:insideV w:val="single" w:sz="5" w:color="D9D9D9"/>
            </w:tcBorders>
            <w:tcMar>
              <w:top w:w="110" w:type="dxa"/>
              <w:start w:w="130" w:type="dxa"/>
              <w:bottom w:w="110" w:type="dxa"/>
              <w:end w:w="130" w:type="dxa"/>
            </w:tcMar>
            <w:shd w:fill="F4F7F6"/>
            <w:vAlign w:val="center"/>
          </w:tcPr>
          <w:p>
            <w:hyperlink r:id="rId19">
              <w:r>
                <w:rPr>
                  <w:color w:val="03763B"/>
                  <w:u w:val="single"/>
                  <w:rFonts w:ascii="Arial" w:hAnsi="Arial"/>
                </w:rPr>
                <w:t>Open ThoxEmployee resources</w:t>
              </w:r>
            </w:hyperlink>
          </w:p>
        </w:tc>
      </w:tr>
    </w:tbl>
    <w:p/>
    <w:p>
      <w:pPr>
        <w:pStyle w:val="Heading2"/>
      </w:pPr>
      <w:r>
        <w:t>Need another copy</w:t>
      </w:r>
    </w:p>
    <w:p>
      <w:r>
        <w:t xml:space="preserve">Keep the companion Markdown guide with this document for searchable, version-controlled instructions. For current processing terms, read </w:t>
      </w:r>
      <w:hyperlink r:id="rId16">
        <w:r>
          <w:rPr>
            <w:color w:val="03763B"/>
            <w:u w:val="single"/>
            <w:rFonts w:ascii="Arial" w:hAnsi="Arial"/>
          </w:rPr>
          <w:t>the ThoxEmployee notices</w:t>
        </w:r>
      </w:hyperlink>
      <w:r>
        <w:t xml:space="preserve"> before using hosted generation.</w:t>
      </w:r>
    </w:p>
    <w:sectPr w:rsidR="00FC693F" w:rsidRPr="0006063C" w:rsidSect="00034616">
      <w:headerReference w:type="first" r:id="rId9"/>
      <w:footerReference w:type="first" r:id="rId10"/>
      <w:headerReference w:type="default" r:id="rId11"/>
      <w:footerReference w:type="default" r:id="rId12"/>
      <w:pgSz w:w="12240" w:h="15840"/>
      <w:pgMar w:top="893" w:right="1037" w:bottom="864" w:left="103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color w:val="626B79"/>
        <w:sz w:val="14"/>
      </w:rPr>
      <w:t xml:space="preserve">THOX.ai  |  </w:t>
    </w:r>
    <w:r>
      <w:rPr>
        <w:rFonts w:ascii="Arial" w:hAnsi="Arial"/>
        <w:color w:val="626B79"/>
        <w:sz w:val="14"/>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101522"/>
        <w:sz w:val="17"/>
      </w:rPr>
      <w:t xml:space="preserve">THOX.ai   </w:t>
    </w:r>
    <w:r>
      <w:rPr>
        <w:rFonts w:ascii="Arial" w:hAnsi="Arial"/>
        <w:b/>
        <w:color w:val="05A451"/>
        <w:sz w:val="15"/>
      </w:rPr>
      <w:t>THOXEMPLOYEE USER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1015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rFonts w:ascii="Arial" w:hAnsi="Arial"/>
      <w:color w:val="101522"/>
      <w:sz w:val="19"/>
    </w:rPr>
  </w:style>
  <w:style w:type="paragraph" w:styleId="ListBullet2">
    <w:name w:val="List Bullet 2"/>
    <w:basedOn w:val="Normal"/>
    <w:uiPriority w:val="99"/>
    <w:unhideWhenUsed/>
    <w:rsid w:val="00326F90"/>
    <w:pPr>
      <w:numPr>
        <w:numId w:val="2"/>
      </w:numPr>
      <w:spacing w:after="80" w:line="259" w:lineRule="auto"/>
      <w:contextualSpacing/>
    </w:pPr>
    <w:rPr>
      <w:rFonts w:ascii="Arial" w:hAnsi="Arial"/>
      <w:color w:val="101522"/>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9" w:lineRule="auto"/>
      <w:contextualSpacing/>
    </w:pPr>
    <w:rPr>
      <w:rFonts w:ascii="Arial" w:hAnsi="Arial"/>
      <w:color w:val="101522"/>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yperlink" Target="https://www.thox.ai/demos/thoxemployee" TargetMode="External"/><Relationship Id="rId15" Type="http://schemas.openxmlformats.org/officeDocument/2006/relationships/hyperlink" Target="https://www.thox.ai/demos/thoxemployee/transfer" TargetMode="External"/><Relationship Id="rId16" Type="http://schemas.openxmlformats.org/officeDocument/2006/relationships/hyperlink" Target="https://www.thox.ai/demos/thoxemployee/notices" TargetMode="External"/><Relationship Id="rId17" Type="http://schemas.openxmlformats.org/officeDocument/2006/relationships/hyperlink" Target="https://www.thox.ai/privacy" TargetMode="External"/><Relationship Id="rId18" Type="http://schemas.openxmlformats.org/officeDocument/2006/relationships/hyperlink" Target="https://www.thox.ai/intellectual-property" TargetMode="External"/><Relationship Id="rId19" Type="http://schemas.openxmlformats.org/officeDocument/2006/relationships/hyperlink" Target="https://www.thox.ai/thoxemployee/lea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ThoxEmployee Transfer and Hosted Workspace User Guide</dc:title>
  <dc:subject>Using ThoxEmployee profile transfer, virtual rehearsal, reverse export, and hosted written handoffs</dc:subject>
  <dc:creator>THOX.ai</dc:creator>
  <cp:keywords>THOX.ai, ThoxEmployee, Grok, Hermes, Pi, employee transfer, hosted AI</cp:keywords>
  <dc:description>Release v1.2.10 user guide</dc:description>
  <cp:lastModifiedBy/>
  <cp:revision>1</cp:revision>
  <dcterms:created xsi:type="dcterms:W3CDTF">2013-12-23T23:15:00Z</dcterms:created>
  <dcterms:modified xsi:type="dcterms:W3CDTF">2013-12-23T23:15:00Z</dcterms:modified>
  <cp:category/>
</cp:coreProperties>
</file>